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distribute"/>
        <w:rPr>
          <w:rFonts w:ascii="微软雅黑" w:hAnsi="微软雅黑" w:eastAsia="微软雅黑" w:cs="微软雅黑"/>
          <w:b/>
          <w:color w:val="FF0000"/>
          <w:sz w:val="72"/>
          <w:szCs w:val="72"/>
        </w:rPr>
      </w:pPr>
      <w:bookmarkStart w:id="7" w:name="_GoBack"/>
      <w:bookmarkEnd w:id="7"/>
      <w:r>
        <w:rPr>
          <w:rFonts w:hint="eastAsia" w:ascii="微软雅黑" w:hAnsi="微软雅黑" w:eastAsia="微软雅黑" w:cs="微软雅黑"/>
          <w:b/>
          <w:color w:val="FF0000"/>
          <w:sz w:val="72"/>
          <w:szCs w:val="72"/>
        </w:rPr>
        <w:t>西北大学公共管理学院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6"/>
          <w:szCs w:val="32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133350</wp:posOffset>
                </wp:positionV>
                <wp:extent cx="5927725" cy="190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7725" cy="19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0.5pt;margin-top:10.5pt;height:0.15pt;width:466.75pt;z-index:251658240;mso-width-relative:page;mso-height-relative:page;" filled="f" stroked="t" coordsize="21600,21600" o:gfxdata="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HNQtkrXAAAACAEAAA8AAAAAAAAAAQAgAAAAIgAAAGRycy9kb3du&#10;cmV2LnhtbFBLAQIUABQAAAAIAIdO4kCcQws/xwEAAIQDAAAOAAAAAAAAAAEAIAAAACYBAABkcnMv&#10;ZTJvRG9jLnhtbFBLBQYAAAAABgAGAFkBAABfBQAAAAA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公共管理学院关于本科</w:t>
      </w:r>
      <w:bookmarkStart w:id="0" w:name="_Hlk17790436"/>
      <w:r>
        <w:rPr>
          <w:rFonts w:hint="eastAsia" w:ascii="微软雅黑" w:hAnsi="微软雅黑" w:eastAsia="微软雅黑" w:cs="微软雅黑"/>
          <w:b/>
          <w:sz w:val="30"/>
          <w:szCs w:val="30"/>
        </w:rPr>
        <w:t>专业平台课程授课教师聘任</w:t>
      </w:r>
      <w:bookmarkEnd w:id="0"/>
      <w:r>
        <w:rPr>
          <w:rFonts w:hint="eastAsia" w:ascii="微软雅黑" w:hAnsi="微软雅黑" w:eastAsia="微软雅黑" w:cs="微软雅黑"/>
          <w:b/>
          <w:sz w:val="30"/>
          <w:szCs w:val="30"/>
        </w:rPr>
        <w:t>及管理办法</w:t>
      </w:r>
    </w:p>
    <w:p>
      <w:pPr>
        <w:pStyle w:val="4"/>
        <w:widowControl/>
        <w:spacing w:line="520" w:lineRule="exact"/>
        <w:ind w:firstLine="420"/>
        <w:jc w:val="both"/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</w:pP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第一条 为贯彻落实《西北大学关于新时代进一步加强本科教学工作若干意见》，结合学院“一院一策”综合改革，学院决定：本科人才培养方案中所有平台课程，建立“竞争上岗、学生选择、聘期考核、动态调整”的制度。为规范管理，特制定本办法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 xml:space="preserve">第二条 </w:t>
      </w:r>
      <w:bookmarkStart w:id="1" w:name="_Hlk17790752"/>
      <w:bookmarkStart w:id="2" w:name="_Hlk17792291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平台课程授课教师聘任</w:t>
      </w:r>
      <w:bookmarkEnd w:id="1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基本条件</w:t>
      </w:r>
      <w:bookmarkEnd w:id="2"/>
    </w:p>
    <w:p>
      <w:pPr>
        <w:pStyle w:val="4"/>
        <w:widowControl/>
        <w:spacing w:line="520" w:lineRule="exact"/>
        <w:ind w:firstLine="560" w:firstLineChars="20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聘课教师须为热爱本科教学工作、教学经验丰富、教学效果良好的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西北大学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在职在岗且具有副教授及以上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eastAsia="zh-CN"/>
        </w:rPr>
        <w:t>职称或博士学位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或具有十年以上教龄的教师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eastAsia="zh-CN"/>
        </w:rPr>
        <w:t>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第三条 平台课程授课教师聘任基本原则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1、符合基本条件的教师均可申请聘任学院各专业的平台课程，申请课程的门数不超过两门；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、《管理学原理》课程计划聘任</w:t>
      </w: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5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人，公共管理大类各专业平台课程</w:t>
      </w:r>
      <w:bookmarkStart w:id="3" w:name="_Hlk17805984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每门课程</w:t>
      </w:r>
      <w:bookmarkEnd w:id="3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计划聘任</w:t>
      </w: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4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人，管理科学、图书馆学、档案馆学各专业平台课程每门课程计划聘任</w:t>
      </w: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3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人；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eastAsia="zh-CN"/>
        </w:rPr>
        <w:t>同等条件下优先聘任在各级各类讲课比赛中获奖的教师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3、获得聘课资格的教师，由学院将教师信息上传至选课系统，学生选课人数少于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人者不能开课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eastAsia="zh-CN"/>
        </w:rPr>
        <w:t>，同一课程同一教师的选课人数不超过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60人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4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、连续两次未开课者或连续两次考评不合格者取消聘课资格；</w:t>
      </w:r>
    </w:p>
    <w:p>
      <w:pPr>
        <w:pStyle w:val="4"/>
        <w:widowControl/>
        <w:spacing w:line="520" w:lineRule="exact"/>
        <w:ind w:firstLine="420"/>
        <w:jc w:val="both"/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5、各平台课程在获聘教师中由本人申请学院聘任一名课程负责人，课程负责人应为副教授及以上职称。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bookmarkStart w:id="4" w:name="_Hlk17807087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条 课程负责人职责</w:t>
      </w:r>
    </w:p>
    <w:bookmarkEnd w:id="4"/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1</w:t>
      </w:r>
      <w:bookmarkStart w:id="5" w:name="_Hlk17807154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、</w:t>
      </w:r>
      <w:bookmarkEnd w:id="5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负责课程的全面建设，包括团队成员的管理、教材建设、内容更新、课程实验、进度安排、考试考核、方法创新和对外协作等工作；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、完成学院安排的课程相关工作；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3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、负责将本门课程建设为校级及以上精品课程，尚未获得各级各类精品课程的课程，课程负责人聘期内应至少组织申报一次校级及以上精品课程；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4、</w:t>
      </w:r>
      <w:bookmarkStart w:id="6" w:name="_Hlk17807433"/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课程负责人和学院签订责任书，作为考核依据。</w:t>
      </w:r>
    </w:p>
    <w:bookmarkEnd w:id="6"/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第五条 授课教师职责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1、服从课程负责人关于课程的工作安排；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、创新教学方式方法及时听取学生意见，不断提高课程教学质量；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3、授课教师和学院签订责任书，作为考核依据。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第六条 聘任工作由学院负责实施。学院邀请校外专家、学校教学督导组成员组成课程聘任考评小组，聘课教师进行不超过2</w:t>
      </w: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0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分钟的答辩，根据得分排序，经学院党政联席会审批后公布聘任结果。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七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条 平台课教师的聘期为三年，受聘期间年度考核合格者原则上不予更换。如因特殊原因需要更换，由本人提出更换意见并经课程负责人同意后提交教务办备案，由主管教学副院长审批。受聘期间若发生教学事故的教师必须更换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八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条 聘课教师的考核分两部分：年度考核由学院教务办在每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eastAsia="zh-CN"/>
        </w:rPr>
        <w:t>学期结束前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组织实施，主要依据是聘课教师与学院签订的责任书，考核结果作为学院发放课时津贴的依据；聘任三年期满后的考核由学院聘任工作领导小组实施，考核结果向全院公布。</w:t>
      </w:r>
    </w:p>
    <w:p>
      <w:pPr>
        <w:pStyle w:val="4"/>
        <w:widowControl/>
        <w:spacing w:line="520" w:lineRule="exact"/>
        <w:ind w:firstLine="42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第九条 聘课教师由学院考核合格后享受学院下拨的课时津贴，平台课程负责人发放标准为0.</w:t>
      </w: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万元/人/年，平台课程按学院现行课时标准的1</w:t>
      </w:r>
      <w:r>
        <w:rPr>
          <w:rFonts w:asciiTheme="minorEastAsia" w:hAnsiTheme="minorEastAsia" w:cstheme="minorEastAsia"/>
          <w:color w:val="000000"/>
          <w:kern w:val="2"/>
          <w:sz w:val="28"/>
          <w:szCs w:val="28"/>
        </w:rPr>
        <w:t>20%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发放。</w:t>
      </w:r>
    </w:p>
    <w:p>
      <w:pPr>
        <w:pStyle w:val="4"/>
        <w:widowControl/>
        <w:spacing w:line="520" w:lineRule="exact"/>
        <w:ind w:firstLine="280" w:firstLineChars="100"/>
        <w:jc w:val="both"/>
        <w:rPr>
          <w:rFonts w:asciiTheme="minorEastAsia" w:hAnsiTheme="minorEastAsia" w:cstheme="minorEastAsia"/>
          <w:color w:val="000000"/>
          <w:kern w:val="2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第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十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条 本办法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eastAsia="zh-CN"/>
        </w:rPr>
        <w:t>及未尽事宜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由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  <w:lang w:val="en-US" w:eastAsia="zh-CN"/>
        </w:rPr>
        <w:t>学院学术委员会</w:t>
      </w:r>
      <w:r>
        <w:rPr>
          <w:rFonts w:hint="eastAsia" w:asciiTheme="minorEastAsia" w:hAnsiTheme="minorEastAsia" w:cstheme="minorEastAsia"/>
          <w:color w:val="000000"/>
          <w:kern w:val="2"/>
          <w:sz w:val="28"/>
          <w:szCs w:val="28"/>
        </w:rPr>
        <w:t>负责解释。</w:t>
      </w:r>
    </w:p>
    <w:p>
      <w:pPr>
        <w:spacing w:line="520" w:lineRule="exact"/>
        <w:ind w:firstLine="6440" w:firstLineChars="2300"/>
        <w:rPr>
          <w:rFonts w:asciiTheme="minorEastAsia" w:hAnsi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公共管理学院</w:t>
      </w:r>
    </w:p>
    <w:p>
      <w:pPr>
        <w:spacing w:line="52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201</w:t>
      </w:r>
      <w:r>
        <w:rPr>
          <w:rFonts w:asciiTheme="minorEastAsia" w:hAnsiTheme="minorEastAsia" w:cstheme="minorEastAsia"/>
          <w:color w:val="000000"/>
          <w:sz w:val="28"/>
          <w:szCs w:val="28"/>
        </w:rPr>
        <w:t>9</w:t>
      </w: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日</w:t>
      </w:r>
    </w:p>
    <w:sectPr>
      <w:pgSz w:w="11906" w:h="16838"/>
      <w:pgMar w:top="851" w:right="1286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